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3B891">
      <w:pPr>
        <w:widowControl/>
        <w:spacing w:before="100" w:beforeAutospacing="1" w:after="100" w:afterAutospacing="1"/>
        <w:jc w:val="both"/>
        <w:rPr>
          <w:rFonts w:ascii="黑体" w:hAnsi="黑体" w:eastAsia="黑体" w:cs="方正小标宋简体"/>
          <w:bCs/>
          <w:sz w:val="32"/>
          <w:szCs w:val="32"/>
          <w:lang w:bidi="ar"/>
        </w:rPr>
      </w:pPr>
      <w:r>
        <w:rPr>
          <w:rFonts w:hint="eastAsia" w:ascii="黑体" w:hAnsi="黑体" w:eastAsia="黑体" w:cs="方正小标宋简体"/>
          <w:bCs/>
          <w:sz w:val="32"/>
          <w:szCs w:val="32"/>
          <w:lang w:bidi="ar"/>
        </w:rPr>
        <w:t>附件</w:t>
      </w:r>
    </w:p>
    <w:p w14:paraId="5A82D0E1">
      <w:pPr>
        <w:widowControl/>
        <w:spacing w:line="536" w:lineRule="exact"/>
        <w:jc w:val="center"/>
        <w:rPr>
          <w:rFonts w:ascii="宋体" w:hAnsi="宋体" w:cs="宋体"/>
          <w:b/>
          <w:sz w:val="44"/>
          <w:szCs w:val="44"/>
          <w:lang w:bidi="ar"/>
        </w:rPr>
      </w:pPr>
      <w:bookmarkStart w:id="3" w:name="_GoBack"/>
      <w:r>
        <w:rPr>
          <w:rFonts w:hint="eastAsia" w:ascii="宋体" w:hAnsi="宋体" w:cs="宋体"/>
          <w:b/>
          <w:sz w:val="44"/>
          <w:szCs w:val="44"/>
          <w:lang w:bidi="ar"/>
        </w:rPr>
        <w:t>残疾人体育单项赛事反兴奋剂</w:t>
      </w:r>
    </w:p>
    <w:p w14:paraId="5AB87427">
      <w:pPr>
        <w:widowControl/>
        <w:spacing w:line="536" w:lineRule="exact"/>
        <w:jc w:val="center"/>
        <w:rPr>
          <w:rFonts w:ascii="宋体" w:hAnsi="宋体" w:cs="宋体"/>
          <w:b/>
          <w:sz w:val="44"/>
          <w:szCs w:val="44"/>
          <w:lang w:bidi="ar"/>
        </w:rPr>
      </w:pPr>
      <w:r>
        <w:rPr>
          <w:rFonts w:hint="eastAsia" w:ascii="宋体" w:hAnsi="宋体" w:cs="宋体"/>
          <w:b/>
          <w:sz w:val="44"/>
          <w:szCs w:val="44"/>
          <w:lang w:bidi="ar"/>
        </w:rPr>
        <w:t>运行保障工作方案（模板）</w:t>
      </w:r>
      <w:bookmarkEnd w:id="3"/>
    </w:p>
    <w:p w14:paraId="785E8066">
      <w:pPr>
        <w:widowControl/>
        <w:spacing w:line="536" w:lineRule="exact"/>
        <w:jc w:val="center"/>
        <w:rPr>
          <w:rFonts w:ascii="仿宋_GB2312" w:eastAsia="仿宋_GB2312" w:cs="仿宋_GB2312"/>
          <w:b/>
          <w:sz w:val="28"/>
          <w:szCs w:val="28"/>
        </w:rPr>
      </w:pPr>
    </w:p>
    <w:p w14:paraId="126C045B">
      <w:pPr>
        <w:spacing w:line="480" w:lineRule="exact"/>
        <w:ind w:firstLine="640" w:firstLineChars="200"/>
        <w:rPr>
          <w:rFonts w:ascii="仿宋" w:hAnsi="仿宋" w:eastAsia="仿宋" w:cs="仿宋_GB2312"/>
          <w:sz w:val="32"/>
          <w:szCs w:val="32"/>
          <w:lang w:bidi="ar"/>
        </w:rPr>
      </w:pPr>
      <w:r>
        <w:rPr>
          <w:rFonts w:hint="eastAsia" w:ascii="仿宋" w:hAnsi="仿宋" w:eastAsia="仿宋" w:cs="仿宋_GB2312"/>
          <w:sz w:val="32"/>
          <w:szCs w:val="32"/>
          <w:lang w:bidi="ar"/>
        </w:rPr>
        <w:t>该方案基于《国内大型赛事反兴奋剂运行工作指南》（以下简称</w:t>
      </w:r>
      <w:bookmarkStart w:id="0" w:name="OLE_LINK24"/>
      <w:r>
        <w:rPr>
          <w:rFonts w:hint="eastAsia" w:ascii="仿宋" w:hAnsi="仿宋" w:eastAsia="仿宋" w:cs="仿宋_GB2312"/>
          <w:sz w:val="32"/>
          <w:szCs w:val="32"/>
          <w:lang w:bidi="ar"/>
        </w:rPr>
        <w:t>《工作指南》</w:t>
      </w:r>
      <w:bookmarkEnd w:id="0"/>
      <w:r>
        <w:rPr>
          <w:rFonts w:hint="eastAsia" w:ascii="仿宋" w:hAnsi="仿宋" w:eastAsia="仿宋" w:cs="仿宋_GB2312"/>
          <w:sz w:val="32"/>
          <w:szCs w:val="32"/>
          <w:lang w:bidi="ar"/>
        </w:rPr>
        <w:t>）有关要求，并结合历次全国残疾人单项体育赛事反兴奋剂工作经验拟定，赛事承办单位可结合赛事实际规模和情况制定本项赛事反兴奋剂工作方案。</w:t>
      </w:r>
    </w:p>
    <w:p w14:paraId="52A2D74F">
      <w:pPr>
        <w:spacing w:line="480" w:lineRule="exact"/>
        <w:ind w:firstLine="640" w:firstLineChars="200"/>
        <w:rPr>
          <w:rFonts w:ascii="黑体" w:hAnsi="宋体" w:eastAsia="黑体" w:cs="黑体"/>
          <w:sz w:val="32"/>
          <w:szCs w:val="32"/>
        </w:rPr>
      </w:pPr>
      <w:r>
        <w:rPr>
          <w:rFonts w:hint="eastAsia" w:ascii="黑体" w:hAnsi="宋体" w:eastAsia="黑体" w:cs="黑体"/>
          <w:sz w:val="32"/>
          <w:szCs w:val="32"/>
          <w:lang w:bidi="ar"/>
        </w:rPr>
        <w:t>一、反兴奋剂工作组设置和职责</w:t>
      </w:r>
    </w:p>
    <w:p w14:paraId="62B5FA86">
      <w:pPr>
        <w:spacing w:line="480" w:lineRule="exact"/>
        <w:ind w:firstLine="640" w:firstLineChars="200"/>
        <w:rPr>
          <w:rFonts w:ascii="楷体" w:hAnsi="楷体" w:eastAsia="楷体" w:cs="华文楷体"/>
          <w:sz w:val="32"/>
          <w:szCs w:val="32"/>
        </w:rPr>
      </w:pPr>
      <w:r>
        <w:rPr>
          <w:rFonts w:hint="eastAsia" w:ascii="楷体" w:hAnsi="楷体" w:eastAsia="楷体" w:cs="华文楷体"/>
          <w:sz w:val="32"/>
          <w:szCs w:val="32"/>
          <w:lang w:bidi="ar"/>
        </w:rPr>
        <w:t>（一）中国残疾人体育运动管理中心</w:t>
      </w:r>
    </w:p>
    <w:p w14:paraId="080AF681">
      <w:pPr>
        <w:spacing w:line="4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bidi="ar"/>
        </w:rPr>
        <w:t>反兴奋剂督导协调1-2人，负责兴奋剂检查计划制定和赛事反兴奋剂工作运行协调。</w:t>
      </w:r>
    </w:p>
    <w:p w14:paraId="754D0393">
      <w:pPr>
        <w:spacing w:line="480" w:lineRule="exact"/>
        <w:ind w:firstLine="640" w:firstLineChars="200"/>
        <w:rPr>
          <w:rFonts w:ascii="楷体" w:hAnsi="楷体" w:eastAsia="楷体" w:cs="华文楷体"/>
          <w:sz w:val="32"/>
          <w:szCs w:val="32"/>
        </w:rPr>
      </w:pPr>
      <w:r>
        <w:rPr>
          <w:rFonts w:hint="eastAsia" w:ascii="楷体" w:hAnsi="楷体" w:eastAsia="楷体" w:cs="华文楷体"/>
          <w:sz w:val="32"/>
          <w:szCs w:val="32"/>
          <w:lang w:bidi="ar"/>
        </w:rPr>
        <w:t>（二）国家体育总局反兴奋剂中心</w:t>
      </w:r>
    </w:p>
    <w:p w14:paraId="70C7F23D">
      <w:pPr>
        <w:spacing w:line="4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bidi="ar"/>
        </w:rPr>
        <w:t>派遣兴奋剂检查官及相关管理人员，负责实施赛事兴奋剂检查等工作，人员数量根据赛事规模及工作计划要求配备。</w:t>
      </w:r>
    </w:p>
    <w:p w14:paraId="5AAEBBE2">
      <w:pPr>
        <w:spacing w:line="480" w:lineRule="exact"/>
        <w:ind w:firstLine="640" w:firstLineChars="200"/>
        <w:rPr>
          <w:rFonts w:ascii="楷体" w:hAnsi="楷体" w:eastAsia="楷体" w:cs="华文楷体"/>
          <w:sz w:val="32"/>
          <w:szCs w:val="32"/>
        </w:rPr>
      </w:pPr>
      <w:r>
        <w:rPr>
          <w:rFonts w:hint="eastAsia" w:ascii="楷体" w:hAnsi="楷体" w:eastAsia="楷体" w:cs="华文楷体"/>
          <w:sz w:val="32"/>
          <w:szCs w:val="32"/>
          <w:lang w:bidi="ar"/>
        </w:rPr>
        <w:t>（三）赛事承办单位</w:t>
      </w:r>
    </w:p>
    <w:p w14:paraId="56AE49DD">
      <w:pPr>
        <w:spacing w:line="480" w:lineRule="exact"/>
        <w:ind w:firstLine="640" w:firstLineChars="200"/>
        <w:rPr>
          <w:rFonts w:ascii="仿宋" w:hAnsi="仿宋" w:eastAsia="仿宋" w:cs="仿宋_GB2312"/>
          <w:sz w:val="32"/>
          <w:szCs w:val="32"/>
        </w:rPr>
      </w:pPr>
      <w:r>
        <w:rPr>
          <w:rFonts w:ascii="仿宋" w:hAnsi="仿宋" w:eastAsia="仿宋" w:cs="仿宋_GB2312"/>
          <w:sz w:val="32"/>
          <w:szCs w:val="32"/>
          <w:lang w:bidi="ar"/>
        </w:rPr>
        <w:t>1</w:t>
      </w:r>
      <w:r>
        <w:rPr>
          <w:rFonts w:hint="eastAsia" w:ascii="仿宋" w:hAnsi="仿宋" w:eastAsia="仿宋"/>
          <w:kern w:val="0"/>
          <w:sz w:val="32"/>
          <w:szCs w:val="32"/>
        </w:rPr>
        <w:t>．</w:t>
      </w:r>
      <w:r>
        <w:rPr>
          <w:rFonts w:hint="eastAsia" w:ascii="仿宋" w:hAnsi="仿宋" w:eastAsia="仿宋" w:cs="仿宋_GB2312"/>
          <w:sz w:val="32"/>
          <w:szCs w:val="32"/>
          <w:lang w:bidi="ar"/>
        </w:rPr>
        <w:t>工作人员：负责落实赛事期间反兴奋剂各项工作，包括前期筹备、赛时运行协调、配合兴奋剂检查、赛后核销等工作。</w:t>
      </w:r>
    </w:p>
    <w:p w14:paraId="781C1AF7">
      <w:pPr>
        <w:spacing w:line="480" w:lineRule="exact"/>
        <w:ind w:firstLine="640" w:firstLineChars="200"/>
        <w:rPr>
          <w:rFonts w:ascii="仿宋" w:hAnsi="仿宋" w:eastAsia="仿宋" w:cs="仿宋_GB2312"/>
          <w:sz w:val="32"/>
          <w:szCs w:val="32"/>
        </w:rPr>
      </w:pPr>
      <w:r>
        <w:rPr>
          <w:rFonts w:ascii="仿宋" w:hAnsi="仿宋" w:eastAsia="仿宋" w:cs="仿宋_GB2312"/>
          <w:sz w:val="32"/>
          <w:szCs w:val="32"/>
          <w:lang w:bidi="ar"/>
        </w:rPr>
        <w:t>2</w:t>
      </w:r>
      <w:r>
        <w:rPr>
          <w:rFonts w:hint="eastAsia" w:ascii="仿宋" w:hAnsi="仿宋" w:eastAsia="仿宋"/>
          <w:kern w:val="0"/>
          <w:sz w:val="32"/>
          <w:szCs w:val="32"/>
        </w:rPr>
        <w:t>．</w:t>
      </w:r>
      <w:r>
        <w:rPr>
          <w:rFonts w:hint="eastAsia" w:ascii="仿宋" w:hAnsi="仿宋" w:eastAsia="仿宋" w:cs="仿宋_GB2312"/>
          <w:sz w:val="32"/>
          <w:szCs w:val="32"/>
          <w:lang w:bidi="ar"/>
        </w:rPr>
        <w:t>志愿者：负责协助开展赛事期间反兴奋剂各项工作，要求须完成赛前培训方可上岗，且派遣人员相对固定。人员数量根据赛事规模及工作计划要求配备。</w:t>
      </w:r>
    </w:p>
    <w:p w14:paraId="245DF3AD">
      <w:pPr>
        <w:spacing w:line="480" w:lineRule="exact"/>
        <w:ind w:firstLine="640" w:firstLineChars="200"/>
        <w:rPr>
          <w:rFonts w:ascii="黑体" w:hAnsi="宋体" w:eastAsia="黑体" w:cs="黑体"/>
          <w:sz w:val="32"/>
          <w:szCs w:val="32"/>
        </w:rPr>
      </w:pPr>
      <w:r>
        <w:rPr>
          <w:rFonts w:hint="eastAsia" w:ascii="黑体" w:hAnsi="宋体" w:eastAsia="黑体" w:cs="黑体"/>
          <w:sz w:val="32"/>
          <w:szCs w:val="32"/>
          <w:lang w:bidi="ar"/>
        </w:rPr>
        <w:t>二、准备工作</w:t>
      </w:r>
    </w:p>
    <w:p w14:paraId="3EB777DA">
      <w:pPr>
        <w:pStyle w:val="4"/>
        <w:widowControl/>
        <w:spacing w:beforeAutospacing="0" w:afterAutospacing="0" w:line="480" w:lineRule="exact"/>
        <w:ind w:firstLine="640" w:firstLineChars="200"/>
        <w:jc w:val="both"/>
        <w:rPr>
          <w:rFonts w:ascii="仿宋" w:hAnsi="仿宋" w:eastAsia="仿宋" w:cs="仿宋_GB2312"/>
          <w:sz w:val="32"/>
          <w:szCs w:val="32"/>
        </w:rPr>
      </w:pPr>
      <w:bookmarkStart w:id="1" w:name="OLE_LINK25"/>
      <w:r>
        <w:rPr>
          <w:rFonts w:hint="eastAsia" w:ascii="仿宋" w:hAnsi="仿宋" w:eastAsia="仿宋" w:cs="仿宋_GB2312"/>
          <w:sz w:val="32"/>
          <w:szCs w:val="32"/>
        </w:rPr>
        <w:t>按照</w:t>
      </w:r>
      <w:r>
        <w:rPr>
          <w:rFonts w:hint="eastAsia" w:ascii="仿宋" w:hAnsi="仿宋" w:eastAsia="仿宋" w:cs="仿宋_GB2312"/>
          <w:sz w:val="32"/>
          <w:szCs w:val="32"/>
          <w:lang w:bidi="ar"/>
        </w:rPr>
        <w:t>《工作指南》</w:t>
      </w:r>
      <w:bookmarkEnd w:id="1"/>
      <w:r>
        <w:rPr>
          <w:rFonts w:hint="eastAsia" w:ascii="仿宋" w:hAnsi="仿宋" w:eastAsia="仿宋" w:cs="仿宋_GB2312"/>
          <w:sz w:val="32"/>
          <w:szCs w:val="32"/>
        </w:rPr>
        <w:t>有关要求和标准，落实经费预算、兴奋剂检查站建站、物资准备和后勤保障等相关工作。</w:t>
      </w:r>
    </w:p>
    <w:p w14:paraId="451A0706">
      <w:pPr>
        <w:spacing w:line="480" w:lineRule="exact"/>
        <w:ind w:firstLine="640" w:firstLineChars="200"/>
        <w:rPr>
          <w:rFonts w:ascii="楷体" w:hAnsi="楷体" w:eastAsia="楷体" w:cs="楷体"/>
          <w:sz w:val="32"/>
          <w:szCs w:val="32"/>
        </w:rPr>
      </w:pPr>
      <w:r>
        <w:rPr>
          <w:rFonts w:hint="eastAsia" w:ascii="楷体" w:hAnsi="楷体" w:eastAsia="楷体" w:cs="楷体"/>
          <w:sz w:val="32"/>
          <w:szCs w:val="32"/>
          <w:lang w:bidi="ar"/>
        </w:rPr>
        <w:t>（一）报到时间</w:t>
      </w:r>
    </w:p>
    <w:p w14:paraId="78886D27">
      <w:pPr>
        <w:spacing w:line="4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bidi="ar"/>
        </w:rPr>
        <w:t>反兴奋剂工作组人员根据赛事任务，于开赛前1日-3日报到。</w:t>
      </w:r>
    </w:p>
    <w:p w14:paraId="0FFD6095">
      <w:pPr>
        <w:spacing w:line="480" w:lineRule="exact"/>
        <w:ind w:firstLine="640" w:firstLineChars="200"/>
        <w:rPr>
          <w:rFonts w:ascii="楷体" w:hAnsi="楷体" w:eastAsia="楷体" w:cs="楷体"/>
          <w:sz w:val="32"/>
          <w:szCs w:val="32"/>
        </w:rPr>
      </w:pPr>
      <w:r>
        <w:rPr>
          <w:rFonts w:hint="eastAsia" w:ascii="楷体" w:hAnsi="楷体" w:eastAsia="楷体" w:cs="楷体"/>
          <w:sz w:val="32"/>
          <w:szCs w:val="32"/>
          <w:lang w:bidi="ar"/>
        </w:rPr>
        <w:t>（二）兴奋剂检查站建站要求</w:t>
      </w:r>
    </w:p>
    <w:p w14:paraId="4ADB145A">
      <w:pPr>
        <w:spacing w:line="4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bidi="ar"/>
        </w:rPr>
        <w:t>在赛场较近的位置设“兴奋剂检查站”，参照A类/B类兴奋剂检查站布局设置，需在检查官报到前1日完成站点布置。</w:t>
      </w:r>
    </w:p>
    <w:p w14:paraId="15F5FD1E">
      <w:pPr>
        <w:spacing w:line="480" w:lineRule="exact"/>
        <w:ind w:firstLine="643" w:firstLineChars="200"/>
        <w:rPr>
          <w:rFonts w:ascii="仿宋" w:hAnsi="仿宋" w:eastAsia="仿宋" w:cs="仿宋_GB2312"/>
          <w:b/>
          <w:sz w:val="32"/>
          <w:szCs w:val="32"/>
        </w:rPr>
      </w:pPr>
      <w:r>
        <w:rPr>
          <w:rFonts w:ascii="仿宋" w:hAnsi="仿宋" w:eastAsia="仿宋" w:cs="仿宋_GB2312"/>
          <w:b/>
          <w:sz w:val="32"/>
          <w:szCs w:val="32"/>
          <w:lang w:bidi="ar"/>
        </w:rPr>
        <w:t>1</w:t>
      </w:r>
      <w:r>
        <w:rPr>
          <w:rFonts w:hint="eastAsia" w:ascii="仿宋" w:hAnsi="仿宋" w:eastAsia="仿宋"/>
          <w:b/>
          <w:kern w:val="0"/>
          <w:sz w:val="32"/>
          <w:szCs w:val="32"/>
        </w:rPr>
        <w:t>．</w:t>
      </w:r>
      <w:r>
        <w:rPr>
          <w:rFonts w:hint="eastAsia" w:ascii="仿宋" w:hAnsi="仿宋" w:eastAsia="仿宋" w:cs="仿宋_GB2312"/>
          <w:b/>
          <w:sz w:val="32"/>
          <w:szCs w:val="32"/>
          <w:lang w:bidi="ar"/>
        </w:rPr>
        <w:t>基本布置</w:t>
      </w:r>
    </w:p>
    <w:p w14:paraId="2CFD0C0F">
      <w:pPr>
        <w:spacing w:line="4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bidi="ar"/>
        </w:rPr>
        <w:t>（1）根据工作需求，检查站至少可容纳4-10名运动员及陪同人员休息待查，具备独立使用的卫生间及操作间。</w:t>
      </w:r>
    </w:p>
    <w:p w14:paraId="42B4B6F5">
      <w:pPr>
        <w:spacing w:line="4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bidi="ar"/>
        </w:rPr>
        <w:t>（2）1-2套办公桌，约10-12把椅子（供填写表格、取尿样时使用）。如无条件设置操作间，用屏风遮挡将工作站分为两个区域。检查站钥匙交由反兴奋剂工作组保管。</w:t>
      </w:r>
    </w:p>
    <w:p w14:paraId="4E098314">
      <w:pPr>
        <w:spacing w:line="480" w:lineRule="exact"/>
        <w:ind w:firstLine="643" w:firstLineChars="200"/>
        <w:rPr>
          <w:rFonts w:ascii="仿宋" w:hAnsi="仿宋" w:eastAsia="仿宋" w:cs="仿宋_GB2312"/>
          <w:b/>
          <w:sz w:val="32"/>
          <w:szCs w:val="32"/>
        </w:rPr>
      </w:pPr>
      <w:r>
        <w:rPr>
          <w:rFonts w:ascii="仿宋" w:hAnsi="仿宋" w:eastAsia="仿宋" w:cs="仿宋_GB2312"/>
          <w:b/>
          <w:sz w:val="32"/>
          <w:szCs w:val="32"/>
          <w:lang w:bidi="ar"/>
        </w:rPr>
        <w:t>2</w:t>
      </w:r>
      <w:r>
        <w:rPr>
          <w:rFonts w:hint="eastAsia" w:ascii="仿宋" w:hAnsi="仿宋" w:eastAsia="仿宋"/>
          <w:b/>
          <w:kern w:val="0"/>
          <w:sz w:val="32"/>
          <w:szCs w:val="32"/>
        </w:rPr>
        <w:t>．</w:t>
      </w:r>
      <w:r>
        <w:rPr>
          <w:rFonts w:hint="eastAsia" w:ascii="仿宋" w:hAnsi="仿宋" w:eastAsia="仿宋" w:cs="仿宋_GB2312"/>
          <w:b/>
          <w:sz w:val="32"/>
          <w:szCs w:val="32"/>
          <w:lang w:bidi="ar"/>
        </w:rPr>
        <w:t>物资准备</w:t>
      </w:r>
    </w:p>
    <w:p w14:paraId="03D6D965">
      <w:pPr>
        <w:spacing w:line="4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bidi="ar"/>
        </w:rPr>
        <w:t>参考《工作指南》中的反兴奋剂设施建设、物资配备和检查保障方案要求，结合赛事兴奋剂检查实际需求配备物资，标准不低于：</w:t>
      </w:r>
    </w:p>
    <w:p w14:paraId="651C72C3">
      <w:pPr>
        <w:spacing w:line="4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bidi="ar"/>
        </w:rPr>
        <w:t>（1）检查站内需提供抽纸巾、垃圾桶、医疗垃圾桶、黑色签字笔、木夹板、复印纸等。</w:t>
      </w:r>
    </w:p>
    <w:p w14:paraId="63DFDC81">
      <w:pPr>
        <w:spacing w:line="4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bidi="ar"/>
        </w:rPr>
        <w:t>（2）检查站内依据实际需求必要时配置带锁冰箱1台，用于储存检查样本。</w:t>
      </w:r>
    </w:p>
    <w:p w14:paraId="77C773E8">
      <w:pPr>
        <w:spacing w:line="4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bidi="ar"/>
        </w:rPr>
        <w:t>（3）饮料准备：要求为不含兴奋剂，瓶装或者听装，单独密封，容量大约为500ML/瓶。饮料数量可根据赛事项目兴奋剂检查数量按照1：10比例配备，饮料种类建议2-3种，配置矿泉水、其他饮料如果汁饮料（例：果粒橙）或碳酸饮料（例：雪碧）。</w:t>
      </w:r>
    </w:p>
    <w:p w14:paraId="7B6AC8EF">
      <w:pPr>
        <w:spacing w:line="480" w:lineRule="exact"/>
        <w:ind w:firstLine="643" w:firstLineChars="200"/>
        <w:rPr>
          <w:rFonts w:ascii="仿宋" w:hAnsi="仿宋" w:eastAsia="仿宋" w:cs="仿宋_GB2312"/>
          <w:b/>
          <w:sz w:val="32"/>
          <w:szCs w:val="32"/>
        </w:rPr>
      </w:pPr>
      <w:r>
        <w:rPr>
          <w:rFonts w:ascii="仿宋" w:hAnsi="仿宋" w:eastAsia="仿宋" w:cs="仿宋_GB2312"/>
          <w:b/>
          <w:sz w:val="32"/>
          <w:szCs w:val="32"/>
          <w:lang w:bidi="ar"/>
        </w:rPr>
        <w:t>3</w:t>
      </w:r>
      <w:r>
        <w:rPr>
          <w:rFonts w:hint="eastAsia" w:ascii="仿宋" w:hAnsi="仿宋" w:eastAsia="仿宋"/>
          <w:b/>
          <w:kern w:val="0"/>
          <w:sz w:val="32"/>
          <w:szCs w:val="32"/>
        </w:rPr>
        <w:t>．</w:t>
      </w:r>
      <w:r>
        <w:rPr>
          <w:rFonts w:hint="eastAsia" w:ascii="仿宋" w:hAnsi="仿宋" w:eastAsia="仿宋" w:cs="仿宋_GB2312"/>
          <w:b/>
          <w:sz w:val="32"/>
          <w:szCs w:val="32"/>
          <w:lang w:bidi="ar"/>
        </w:rPr>
        <w:t>证件要求</w:t>
      </w:r>
    </w:p>
    <w:p w14:paraId="6E7D0EAF">
      <w:pPr>
        <w:spacing w:line="4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bidi="ar"/>
        </w:rPr>
        <w:t>反兴奋剂技术官员赛事工作证件要求通行权限能够到达执行兴奋剂检查工作必须的所有区域，权限须包含运动员通行权限的全部区域。</w:t>
      </w:r>
    </w:p>
    <w:p w14:paraId="05238D1E">
      <w:pPr>
        <w:spacing w:line="480" w:lineRule="exact"/>
        <w:ind w:firstLine="643" w:firstLineChars="200"/>
        <w:rPr>
          <w:rFonts w:ascii="仿宋" w:hAnsi="仿宋" w:eastAsia="仿宋" w:cs="仿宋_GB2312"/>
          <w:b/>
          <w:sz w:val="32"/>
          <w:szCs w:val="32"/>
          <w:lang w:bidi="ar"/>
        </w:rPr>
      </w:pPr>
      <w:r>
        <w:rPr>
          <w:rFonts w:hint="eastAsia" w:ascii="仿宋" w:hAnsi="仿宋" w:eastAsia="仿宋" w:cs="仿宋_GB2312"/>
          <w:b/>
          <w:sz w:val="32"/>
          <w:szCs w:val="32"/>
          <w:lang w:bidi="ar"/>
        </w:rPr>
        <w:t>4</w:t>
      </w:r>
      <w:r>
        <w:rPr>
          <w:rFonts w:hint="eastAsia" w:ascii="仿宋" w:hAnsi="仿宋" w:eastAsia="仿宋"/>
          <w:b/>
          <w:kern w:val="0"/>
          <w:sz w:val="32"/>
          <w:szCs w:val="32"/>
        </w:rPr>
        <w:t>．</w:t>
      </w:r>
      <w:r>
        <w:rPr>
          <w:rFonts w:hint="eastAsia" w:ascii="仿宋" w:hAnsi="仿宋" w:eastAsia="仿宋" w:cs="仿宋_GB2312"/>
          <w:b/>
          <w:sz w:val="32"/>
          <w:szCs w:val="32"/>
          <w:lang w:bidi="ar"/>
        </w:rPr>
        <w:t>赛时交通保障</w:t>
      </w:r>
    </w:p>
    <w:p w14:paraId="7B981F19">
      <w:pPr>
        <w:spacing w:line="480" w:lineRule="exact"/>
        <w:ind w:firstLine="640" w:firstLineChars="200"/>
        <w:rPr>
          <w:rFonts w:ascii="仿宋" w:hAnsi="仿宋" w:eastAsia="仿宋" w:cs="仿宋_GB2312"/>
          <w:sz w:val="32"/>
          <w:szCs w:val="32"/>
          <w:lang w:bidi="ar"/>
        </w:rPr>
      </w:pPr>
      <w:r>
        <w:rPr>
          <w:rFonts w:hint="eastAsia" w:ascii="仿宋" w:hAnsi="仿宋" w:eastAsia="仿宋" w:cs="仿宋_GB2312"/>
          <w:sz w:val="32"/>
          <w:szCs w:val="32"/>
          <w:lang w:bidi="ar"/>
        </w:rPr>
        <w:t>比赛兴奋剂检查工作通常于各项目比赛结束后实施，存在因兴奋剂检查延误运动员及其代表返回驻地的情况。为避免运动员完成检查后无送返车辆的情况，承办单位应落实兴奋剂检查运动员送返保障政策，在各场馆交通领域常规工作结束后，组织安排运送因兴奋剂检查延误的运动员及其代表返回运动员官方指定驻地。</w:t>
      </w:r>
    </w:p>
    <w:p w14:paraId="554B5028">
      <w:pPr>
        <w:spacing w:line="480" w:lineRule="exact"/>
        <w:ind w:firstLine="640" w:firstLineChars="200"/>
        <w:rPr>
          <w:rFonts w:ascii="楷体" w:hAnsi="楷体" w:eastAsia="楷体" w:cs="楷体"/>
          <w:sz w:val="32"/>
          <w:szCs w:val="32"/>
          <w:lang w:bidi="ar"/>
        </w:rPr>
      </w:pPr>
      <w:r>
        <w:rPr>
          <w:rFonts w:hint="eastAsia" w:ascii="楷体" w:hAnsi="楷体" w:eastAsia="楷体" w:cs="楷体"/>
          <w:sz w:val="32"/>
          <w:szCs w:val="32"/>
          <w:lang w:bidi="ar"/>
        </w:rPr>
        <w:t>（三）编制预算</w:t>
      </w:r>
    </w:p>
    <w:p w14:paraId="41F1D6D6">
      <w:pPr>
        <w:spacing w:line="480" w:lineRule="exact"/>
        <w:ind w:firstLine="640" w:firstLineChars="200"/>
        <w:rPr>
          <w:rFonts w:ascii="仿宋" w:hAnsi="仿宋" w:eastAsia="仿宋" w:cs="仿宋_GB2312"/>
          <w:sz w:val="32"/>
          <w:szCs w:val="32"/>
          <w:lang w:bidi="ar"/>
        </w:rPr>
      </w:pPr>
      <w:r>
        <w:rPr>
          <w:rFonts w:hint="eastAsia" w:ascii="仿宋" w:hAnsi="仿宋" w:eastAsia="仿宋" w:cs="仿宋_GB2312"/>
          <w:sz w:val="32"/>
          <w:szCs w:val="32"/>
          <w:lang w:bidi="ar"/>
        </w:rPr>
        <w:t>根据《</w:t>
      </w:r>
      <w:r>
        <w:rPr>
          <w:rFonts w:ascii="仿宋" w:hAnsi="仿宋" w:eastAsia="仿宋" w:cs="仿宋_GB2312"/>
          <w:sz w:val="32"/>
          <w:szCs w:val="32"/>
          <w:lang w:bidi="ar"/>
        </w:rPr>
        <w:t>全国</w:t>
      </w:r>
      <w:r>
        <w:rPr>
          <w:rFonts w:hint="eastAsia" w:ascii="仿宋" w:hAnsi="仿宋" w:eastAsia="仿宋" w:cs="仿宋_GB2312"/>
          <w:sz w:val="32"/>
          <w:szCs w:val="32"/>
          <w:lang w:bidi="ar"/>
        </w:rPr>
        <w:t>残疾人体育单项赛事反兴奋剂工作指导意见》有关要求，制定承办赛事反兴奋剂工作经费预算。</w:t>
      </w:r>
    </w:p>
    <w:p w14:paraId="7CC0249E">
      <w:pPr>
        <w:spacing w:line="480" w:lineRule="exact"/>
        <w:ind w:firstLine="640" w:firstLineChars="200"/>
        <w:rPr>
          <w:rFonts w:ascii="楷体" w:hAnsi="楷体" w:eastAsia="楷体" w:cs="仿宋_GB2312"/>
          <w:sz w:val="32"/>
          <w:szCs w:val="32"/>
          <w:lang w:bidi="ar"/>
        </w:rPr>
      </w:pPr>
      <w:r>
        <w:rPr>
          <w:rFonts w:hint="eastAsia" w:ascii="楷体" w:hAnsi="楷体" w:eastAsia="楷体" w:cs="仿宋_GB2312"/>
          <w:sz w:val="32"/>
          <w:szCs w:val="32"/>
          <w:lang w:bidi="ar"/>
        </w:rPr>
        <w:t>（四）</w:t>
      </w:r>
      <w:bookmarkStart w:id="2" w:name="OLE_LINK26"/>
      <w:r>
        <w:rPr>
          <w:rFonts w:hint="eastAsia" w:ascii="楷体" w:hAnsi="楷体" w:eastAsia="楷体" w:cs="仿宋_GB2312"/>
          <w:sz w:val="32"/>
          <w:szCs w:val="32"/>
          <w:lang w:bidi="ar"/>
        </w:rPr>
        <w:t>落实赛事食源性兴奋剂风险防控</w:t>
      </w:r>
      <w:bookmarkEnd w:id="2"/>
    </w:p>
    <w:p w14:paraId="3A7F51D6">
      <w:pPr>
        <w:spacing w:line="480" w:lineRule="exact"/>
        <w:ind w:firstLine="640" w:firstLineChars="200"/>
        <w:rPr>
          <w:rFonts w:ascii="仿宋" w:hAnsi="仿宋" w:eastAsia="仿宋" w:cs="仿宋_GB2312"/>
          <w:sz w:val="32"/>
          <w:szCs w:val="32"/>
          <w:lang w:bidi="ar"/>
        </w:rPr>
      </w:pPr>
      <w:r>
        <w:rPr>
          <w:rFonts w:hint="eastAsia" w:ascii="仿宋" w:hAnsi="仿宋" w:eastAsia="仿宋" w:cs="仿宋_GB2312"/>
          <w:sz w:val="32"/>
          <w:szCs w:val="32"/>
          <w:lang w:bidi="ar"/>
        </w:rPr>
        <w:t>根据《工作指南》和《大型赛事食源性兴奋剂防控工作指南》有关要求，落实赛事食源性兴奋剂防控保障工作。</w:t>
      </w:r>
    </w:p>
    <w:p w14:paraId="13F7D574">
      <w:pPr>
        <w:spacing w:line="480" w:lineRule="exact"/>
        <w:ind w:firstLine="640" w:firstLineChars="200"/>
        <w:rPr>
          <w:rFonts w:ascii="黑体" w:hAnsi="宋体" w:eastAsia="黑体" w:cs="黑体"/>
          <w:sz w:val="32"/>
          <w:szCs w:val="32"/>
          <w:lang w:bidi="ar"/>
        </w:rPr>
      </w:pPr>
      <w:r>
        <w:rPr>
          <w:rFonts w:hint="eastAsia" w:ascii="黑体" w:hAnsi="宋体" w:eastAsia="黑体" w:cs="黑体"/>
          <w:sz w:val="32"/>
          <w:szCs w:val="32"/>
          <w:lang w:bidi="ar"/>
        </w:rPr>
        <w:t>三、参考文件和通知链接</w:t>
      </w:r>
    </w:p>
    <w:p w14:paraId="117C8B58">
      <w:pPr>
        <w:spacing w:line="480" w:lineRule="exact"/>
        <w:ind w:firstLine="640" w:firstLineChars="200"/>
        <w:rPr>
          <w:rFonts w:ascii="仿宋" w:hAnsi="仿宋" w:eastAsia="仿宋" w:cs="仿宋_GB2312"/>
          <w:sz w:val="32"/>
          <w:szCs w:val="32"/>
          <w:lang w:bidi="ar"/>
        </w:rPr>
      </w:pPr>
      <w:r>
        <w:rPr>
          <w:rFonts w:hint="eastAsia" w:ascii="仿宋" w:hAnsi="仿宋" w:eastAsia="仿宋" w:cs="仿宋_GB2312"/>
          <w:sz w:val="32"/>
          <w:szCs w:val="32"/>
          <w:lang w:bidi="ar"/>
        </w:rPr>
        <w:t>1</w:t>
      </w:r>
      <w:r>
        <w:rPr>
          <w:rFonts w:hint="eastAsia" w:ascii="仿宋" w:hAnsi="仿宋" w:eastAsia="仿宋"/>
          <w:bCs/>
          <w:kern w:val="0"/>
          <w:sz w:val="32"/>
          <w:szCs w:val="32"/>
        </w:rPr>
        <w:t>．</w:t>
      </w:r>
      <w:r>
        <w:rPr>
          <w:rFonts w:hint="eastAsia" w:ascii="仿宋" w:hAnsi="仿宋" w:eastAsia="仿宋" w:cs="仿宋_GB2312"/>
          <w:sz w:val="32"/>
          <w:szCs w:val="32"/>
          <w:lang w:bidi="ar"/>
        </w:rPr>
        <w:t>《国内大型赛事反兴奋剂运行工作指南》</w:t>
      </w:r>
    </w:p>
    <w:p w14:paraId="1C7E3857">
      <w:pPr>
        <w:spacing w:line="480" w:lineRule="exact"/>
        <w:ind w:firstLine="640" w:firstLineChars="200"/>
        <w:rPr>
          <w:rFonts w:ascii="仿宋" w:hAnsi="仿宋" w:eastAsia="仿宋" w:cs="仿宋_GB2312"/>
          <w:sz w:val="32"/>
          <w:szCs w:val="32"/>
          <w:lang w:bidi="ar"/>
        </w:rPr>
      </w:pPr>
      <w:r>
        <w:rPr>
          <w:rFonts w:hint="eastAsia" w:ascii="仿宋" w:hAnsi="仿宋" w:eastAsia="仿宋" w:cs="仿宋_GB2312"/>
          <w:sz w:val="32"/>
          <w:szCs w:val="32"/>
          <w:lang w:bidi="ar"/>
        </w:rPr>
        <w:t>https://www.chinada.cn/contents/6/6719.html</w:t>
      </w:r>
    </w:p>
    <w:p w14:paraId="7ABE5115">
      <w:pPr>
        <w:spacing w:line="480" w:lineRule="exact"/>
        <w:ind w:firstLine="640" w:firstLineChars="200"/>
        <w:rPr>
          <w:rFonts w:ascii="仿宋" w:hAnsi="仿宋" w:eastAsia="仿宋" w:cs="仿宋_GB2312"/>
          <w:sz w:val="32"/>
          <w:szCs w:val="32"/>
          <w:lang w:bidi="ar"/>
        </w:rPr>
      </w:pPr>
      <w:r>
        <w:rPr>
          <w:rFonts w:hint="eastAsia" w:ascii="仿宋" w:hAnsi="仿宋" w:eastAsia="仿宋" w:cs="仿宋_GB2312"/>
          <w:sz w:val="32"/>
          <w:szCs w:val="32"/>
          <w:lang w:bidi="ar"/>
        </w:rPr>
        <w:t>2</w:t>
      </w:r>
      <w:r>
        <w:rPr>
          <w:rFonts w:hint="eastAsia" w:ascii="仿宋" w:hAnsi="仿宋" w:eastAsia="仿宋"/>
          <w:bCs/>
          <w:kern w:val="0"/>
          <w:sz w:val="32"/>
          <w:szCs w:val="32"/>
        </w:rPr>
        <w:t>．</w:t>
      </w:r>
      <w:r>
        <w:rPr>
          <w:rFonts w:hint="eastAsia" w:ascii="仿宋" w:hAnsi="仿宋" w:eastAsia="仿宋" w:cs="仿宋_GB2312"/>
          <w:sz w:val="32"/>
          <w:szCs w:val="32"/>
          <w:lang w:bidi="ar"/>
        </w:rPr>
        <w:t>《大型赛事食源性兴奋剂防控工作指南》</w:t>
      </w:r>
    </w:p>
    <w:p w14:paraId="431D8848">
      <w:pPr>
        <w:spacing w:line="480" w:lineRule="exact"/>
        <w:ind w:firstLine="640" w:firstLineChars="200"/>
        <w:rPr>
          <w:rFonts w:ascii="仿宋" w:hAnsi="仿宋" w:eastAsia="仿宋" w:cs="仿宋_GB2312"/>
          <w:sz w:val="32"/>
          <w:szCs w:val="32"/>
          <w:lang w:bidi="ar"/>
        </w:rPr>
      </w:pPr>
      <w:r>
        <w:rPr>
          <w:rFonts w:hint="eastAsia" w:ascii="仿宋" w:hAnsi="仿宋" w:eastAsia="仿宋" w:cs="仿宋_GB2312"/>
          <w:sz w:val="32"/>
          <w:szCs w:val="32"/>
          <w:lang w:bidi="ar"/>
        </w:rPr>
        <w:t>https://www.chinada.cn/contents/50/2139.html</w:t>
      </w:r>
    </w:p>
    <w:p w14:paraId="650F7158">
      <w:pPr>
        <w:spacing w:line="480" w:lineRule="exact"/>
        <w:ind w:firstLine="640" w:firstLineChars="200"/>
        <w:rPr>
          <w:rFonts w:ascii="仿宋" w:hAnsi="仿宋" w:eastAsia="仿宋" w:cs="仿宋_GB2312"/>
          <w:sz w:val="32"/>
          <w:szCs w:val="32"/>
          <w:lang w:bidi="ar"/>
        </w:rPr>
      </w:pPr>
      <w:r>
        <w:rPr>
          <w:rFonts w:hint="eastAsia" w:ascii="仿宋" w:hAnsi="仿宋" w:eastAsia="仿宋" w:cs="仿宋_GB2312"/>
          <w:sz w:val="32"/>
          <w:szCs w:val="32"/>
          <w:lang w:bidi="ar"/>
        </w:rPr>
        <w:t>3</w:t>
      </w:r>
      <w:r>
        <w:rPr>
          <w:rFonts w:hint="eastAsia" w:ascii="仿宋" w:hAnsi="仿宋" w:eastAsia="仿宋"/>
          <w:bCs/>
          <w:kern w:val="0"/>
          <w:sz w:val="32"/>
          <w:szCs w:val="32"/>
        </w:rPr>
        <w:t>．《</w:t>
      </w:r>
      <w:r>
        <w:rPr>
          <w:rFonts w:hint="eastAsia" w:ascii="仿宋" w:hAnsi="仿宋" w:eastAsia="仿宋" w:cs="仿宋_GB2312"/>
          <w:sz w:val="32"/>
          <w:szCs w:val="32"/>
          <w:lang w:bidi="ar"/>
        </w:rPr>
        <w:t>三品兴奋剂风险防控指南》</w:t>
      </w:r>
    </w:p>
    <w:p w14:paraId="2D086785">
      <w:pPr>
        <w:spacing w:line="480" w:lineRule="exact"/>
        <w:ind w:firstLine="640" w:firstLineChars="200"/>
        <w:rPr>
          <w:rFonts w:ascii="仿宋" w:hAnsi="仿宋" w:eastAsia="仿宋" w:cs="仿宋_GB2312"/>
          <w:sz w:val="32"/>
          <w:szCs w:val="32"/>
          <w:lang w:bidi="ar"/>
        </w:rPr>
      </w:pPr>
      <w:r>
        <w:rPr>
          <w:rFonts w:hint="eastAsia" w:ascii="仿宋" w:hAnsi="仿宋" w:eastAsia="仿宋" w:cs="仿宋_GB2312"/>
          <w:sz w:val="32"/>
          <w:szCs w:val="32"/>
          <w:lang w:bidi="ar"/>
        </w:rPr>
        <w:t>https://www.chinada.cn/channels/teamdata.html</w:t>
      </w:r>
    </w:p>
    <w:p w14:paraId="349F3E34">
      <w:pPr>
        <w:spacing w:line="480" w:lineRule="exact"/>
        <w:ind w:firstLine="640" w:firstLineChars="200"/>
        <w:rPr>
          <w:rFonts w:ascii="仿宋" w:hAnsi="仿宋" w:eastAsia="仿宋" w:cs="仿宋_GB2312"/>
          <w:sz w:val="32"/>
          <w:szCs w:val="32"/>
          <w:lang w:bidi="ar"/>
        </w:rPr>
      </w:pPr>
      <w:r>
        <w:rPr>
          <w:rFonts w:hint="eastAsia" w:ascii="仿宋" w:hAnsi="仿宋" w:eastAsia="仿宋" w:cs="仿宋_GB2312"/>
          <w:sz w:val="32"/>
          <w:szCs w:val="32"/>
          <w:lang w:bidi="ar"/>
        </w:rPr>
        <w:t>4</w:t>
      </w:r>
      <w:r>
        <w:rPr>
          <w:rFonts w:hint="eastAsia" w:ascii="仿宋" w:hAnsi="仿宋" w:eastAsia="仿宋"/>
          <w:bCs/>
          <w:kern w:val="0"/>
          <w:sz w:val="32"/>
          <w:szCs w:val="32"/>
        </w:rPr>
        <w:t>．</w:t>
      </w:r>
      <w:r>
        <w:rPr>
          <w:rFonts w:hint="eastAsia" w:ascii="仿宋" w:hAnsi="仿宋" w:eastAsia="仿宋" w:cs="仿宋_GB2312"/>
          <w:sz w:val="32"/>
          <w:szCs w:val="32"/>
          <w:lang w:bidi="ar"/>
        </w:rPr>
        <w:t>《治疗用药豁免实施细则》</w:t>
      </w:r>
    </w:p>
    <w:p w14:paraId="619F7FF7">
      <w:pPr>
        <w:spacing w:line="480" w:lineRule="exact"/>
        <w:ind w:firstLine="640" w:firstLineChars="200"/>
        <w:rPr>
          <w:rFonts w:ascii="仿宋" w:hAnsi="仿宋" w:eastAsia="仿宋" w:cs="仿宋_GB2312"/>
          <w:sz w:val="32"/>
          <w:szCs w:val="32"/>
          <w:lang w:bidi="ar"/>
        </w:rPr>
      </w:pPr>
      <w:r>
        <w:rPr>
          <w:rFonts w:ascii="仿宋" w:hAnsi="仿宋" w:eastAsia="仿宋" w:cs="仿宋_GB2312"/>
          <w:sz w:val="32"/>
          <w:szCs w:val="32"/>
          <w:lang w:bidi="ar"/>
        </w:rPr>
        <w:t>https://www.chinada.cn/contents/6/7143.html</w:t>
      </w:r>
    </w:p>
    <w:p w14:paraId="2E289211">
      <w:pPr>
        <w:spacing w:line="480" w:lineRule="exact"/>
        <w:ind w:firstLine="640" w:firstLineChars="200"/>
        <w:rPr>
          <w:rFonts w:ascii="仿宋" w:hAnsi="仿宋" w:eastAsia="仿宋" w:cs="仿宋_GB2312"/>
          <w:sz w:val="32"/>
          <w:szCs w:val="32"/>
          <w:lang w:bidi="ar"/>
        </w:rPr>
      </w:pPr>
      <w:r>
        <w:rPr>
          <w:rFonts w:hint="eastAsia" w:ascii="仿宋" w:hAnsi="仿宋" w:eastAsia="仿宋" w:cs="仿宋_GB2312"/>
          <w:sz w:val="32"/>
          <w:szCs w:val="32"/>
          <w:lang w:bidi="ar"/>
        </w:rPr>
        <w:t>5</w:t>
      </w:r>
      <w:r>
        <w:rPr>
          <w:rFonts w:hint="eastAsia" w:ascii="仿宋" w:hAnsi="仿宋" w:eastAsia="仿宋"/>
          <w:bCs/>
          <w:kern w:val="0"/>
          <w:sz w:val="32"/>
          <w:szCs w:val="32"/>
        </w:rPr>
        <w:t>．</w:t>
      </w:r>
      <w:r>
        <w:rPr>
          <w:rFonts w:hint="eastAsia" w:ascii="仿宋" w:hAnsi="仿宋" w:eastAsia="仿宋" w:cs="仿宋_GB2312"/>
          <w:sz w:val="32"/>
          <w:szCs w:val="32"/>
          <w:lang w:bidi="ar"/>
        </w:rPr>
        <w:t>《治疗用药豁免医生指南》</w:t>
      </w:r>
    </w:p>
    <w:p w14:paraId="0145D0E9">
      <w:pPr>
        <w:spacing w:line="480" w:lineRule="exact"/>
        <w:ind w:firstLine="640" w:firstLineChars="200"/>
        <w:rPr>
          <w:rFonts w:ascii="仿宋" w:hAnsi="仿宋" w:eastAsia="仿宋" w:cs="仿宋_GB2312"/>
          <w:sz w:val="32"/>
          <w:szCs w:val="32"/>
          <w:lang w:bidi="ar"/>
        </w:rPr>
      </w:pPr>
      <w:r>
        <w:rPr>
          <w:rFonts w:hint="eastAsia" w:ascii="仿宋" w:hAnsi="仿宋" w:eastAsia="仿宋" w:cs="仿宋_GB2312"/>
          <w:sz w:val="32"/>
          <w:szCs w:val="32"/>
          <w:lang w:bidi="ar"/>
        </w:rPr>
        <w:t>https://www.chinada.cn/contents/6/7822.html</w:t>
      </w:r>
    </w:p>
    <w:p w14:paraId="57E806AC">
      <w:pPr>
        <w:spacing w:line="480" w:lineRule="exact"/>
        <w:ind w:firstLine="640" w:firstLineChars="200"/>
        <w:rPr>
          <w:rFonts w:ascii="仿宋" w:hAnsi="仿宋" w:eastAsia="仿宋" w:cs="仿宋_GB2312"/>
          <w:sz w:val="32"/>
          <w:szCs w:val="32"/>
          <w:lang w:bidi="ar"/>
        </w:rPr>
      </w:pPr>
      <w:r>
        <w:rPr>
          <w:rFonts w:hint="eastAsia" w:ascii="仿宋" w:hAnsi="仿宋" w:eastAsia="仿宋" w:cs="仿宋_GB2312"/>
          <w:sz w:val="32"/>
          <w:szCs w:val="32"/>
          <w:lang w:bidi="ar"/>
        </w:rPr>
        <w:t>6</w:t>
      </w:r>
      <w:r>
        <w:rPr>
          <w:rFonts w:hint="eastAsia" w:ascii="仿宋" w:hAnsi="仿宋" w:eastAsia="仿宋"/>
          <w:bCs/>
          <w:kern w:val="0"/>
          <w:sz w:val="32"/>
          <w:szCs w:val="32"/>
        </w:rPr>
        <w:t>．</w:t>
      </w:r>
      <w:r>
        <w:rPr>
          <w:rFonts w:hint="eastAsia" w:ascii="仿宋" w:hAnsi="仿宋" w:eastAsia="仿宋" w:cs="仿宋_GB2312"/>
          <w:sz w:val="32"/>
          <w:szCs w:val="32"/>
          <w:lang w:bidi="ar"/>
        </w:rPr>
        <w:t>《治疗用药豁免申请表》</w:t>
      </w:r>
    </w:p>
    <w:p w14:paraId="59385D27">
      <w:pPr>
        <w:spacing w:line="480" w:lineRule="exact"/>
        <w:ind w:firstLine="640" w:firstLineChars="200"/>
        <w:rPr>
          <w:rFonts w:ascii="仿宋" w:hAnsi="仿宋" w:eastAsia="仿宋" w:cs="仿宋_GB2312"/>
          <w:sz w:val="32"/>
          <w:szCs w:val="32"/>
          <w:lang w:bidi="ar"/>
        </w:rPr>
      </w:pPr>
      <w:r>
        <w:rPr>
          <w:rFonts w:ascii="仿宋" w:hAnsi="仿宋" w:eastAsia="仿宋" w:cs="仿宋_GB2312"/>
          <w:sz w:val="32"/>
          <w:szCs w:val="32"/>
          <w:lang w:bidi="ar"/>
        </w:rPr>
        <w:t>https://www.chinada.cn/channels/makings.html</w:t>
      </w:r>
    </w:p>
    <w:sectPr>
      <w:footerReference r:id="rId3" w:type="default"/>
      <w:pgSz w:w="11906" w:h="16838"/>
      <w:pgMar w:top="1440" w:right="1474" w:bottom="1667" w:left="147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076ECD-96BA-4D2D-944C-7E5CF20E5E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1C6601B-92C2-4E19-841F-F68A81860C6A}"/>
  </w:font>
  <w:font w:name="仿宋_GB2312">
    <w:altName w:val="仿宋"/>
    <w:panose1 w:val="00000000000000000000"/>
    <w:charset w:val="86"/>
    <w:family w:val="modern"/>
    <w:pitch w:val="default"/>
    <w:sig w:usb0="00000000" w:usb1="00000000" w:usb2="00000010" w:usb3="00000000" w:csb0="00040000" w:csb1="00000000"/>
    <w:embedRegular r:id="rId3" w:fontKey="{2B818127-5EC0-4CE0-A696-E0EB24D5B408}"/>
  </w:font>
  <w:font w:name="仿宋">
    <w:panose1 w:val="02010609060101010101"/>
    <w:charset w:val="86"/>
    <w:family w:val="modern"/>
    <w:pitch w:val="default"/>
    <w:sig w:usb0="800002BF" w:usb1="38CF7CFA" w:usb2="00000016" w:usb3="00000000" w:csb0="00040001" w:csb1="00000000"/>
    <w:embedRegular r:id="rId4" w:fontKey="{16F80FA3-A561-4BC2-B1C3-58427B737366}"/>
  </w:font>
  <w:font w:name="楷体">
    <w:panose1 w:val="02010609060101010101"/>
    <w:charset w:val="86"/>
    <w:family w:val="modern"/>
    <w:pitch w:val="default"/>
    <w:sig w:usb0="800002BF" w:usb1="38CF7CFA" w:usb2="00000016" w:usb3="00000000" w:csb0="00040001" w:csb1="00000000"/>
    <w:embedRegular r:id="rId5" w:fontKey="{4E69E81A-8F38-48C9-9A4D-F62FD77054B1}"/>
  </w:font>
  <w:font w:name="方正小标宋简体">
    <w:panose1 w:val="02010600010101010101"/>
    <w:charset w:val="86"/>
    <w:family w:val="auto"/>
    <w:pitch w:val="default"/>
    <w:sig w:usb0="00000001" w:usb1="080E0000" w:usb2="00000000" w:usb3="00000000" w:csb0="00040000" w:csb1="00000000"/>
    <w:embedRegular r:id="rId6" w:fontKey="{40357CDB-1E0B-4E14-AD91-A6F57A3ED920}"/>
  </w:font>
  <w:font w:name="华文楷体">
    <w:panose1 w:val="02010600040101010101"/>
    <w:charset w:val="86"/>
    <w:family w:val="auto"/>
    <w:pitch w:val="default"/>
    <w:sig w:usb0="00000287" w:usb1="080F0000" w:usb2="00000000" w:usb3="00000000" w:csb0="0004009F" w:csb1="DFD70000"/>
    <w:embedRegular r:id="rId7" w:fontKey="{45BD14DA-70F0-4F06-9A18-490E05C7D986}"/>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6AE65">
    <w:pPr>
      <w:pStyle w:val="2"/>
      <w:jc w:val="center"/>
    </w:pPr>
    <w:r>
      <w:fldChar w:fldCharType="begin"/>
    </w:r>
    <w:r>
      <w:instrText xml:space="preserve">PAGE   \* MERGEFORMAT</w:instrText>
    </w:r>
    <w:r>
      <w:fldChar w:fldCharType="separate"/>
    </w:r>
    <w:r>
      <w:t>6</w:t>
    </w:r>
    <w:r>
      <w:fldChar w:fldCharType="end"/>
    </w:r>
  </w:p>
  <w:p w14:paraId="3498D5B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caspd.org.cn:443/seeyon/officeservlet"/>
  </w:docVars>
  <w:rsids>
    <w:rsidRoot w:val="00327492"/>
    <w:rsid w:val="00014B7E"/>
    <w:rsid w:val="0003002A"/>
    <w:rsid w:val="000416F3"/>
    <w:rsid w:val="00051582"/>
    <w:rsid w:val="00051669"/>
    <w:rsid w:val="00051C20"/>
    <w:rsid w:val="00052071"/>
    <w:rsid w:val="00053153"/>
    <w:rsid w:val="000610F3"/>
    <w:rsid w:val="00063480"/>
    <w:rsid w:val="000B3A24"/>
    <w:rsid w:val="000C22F1"/>
    <w:rsid w:val="000C3043"/>
    <w:rsid w:val="000C3A61"/>
    <w:rsid w:val="000D25F9"/>
    <w:rsid w:val="000D77BC"/>
    <w:rsid w:val="00104BCC"/>
    <w:rsid w:val="00113EDE"/>
    <w:rsid w:val="00120936"/>
    <w:rsid w:val="0013613E"/>
    <w:rsid w:val="00147F69"/>
    <w:rsid w:val="001610F2"/>
    <w:rsid w:val="00161D8C"/>
    <w:rsid w:val="00166568"/>
    <w:rsid w:val="0017622D"/>
    <w:rsid w:val="00176605"/>
    <w:rsid w:val="001A6C12"/>
    <w:rsid w:val="001C4323"/>
    <w:rsid w:val="002136EF"/>
    <w:rsid w:val="0023236F"/>
    <w:rsid w:val="00236684"/>
    <w:rsid w:val="002473D7"/>
    <w:rsid w:val="002A083C"/>
    <w:rsid w:val="002A675F"/>
    <w:rsid w:val="002A7550"/>
    <w:rsid w:val="002B12A3"/>
    <w:rsid w:val="002B23F4"/>
    <w:rsid w:val="002B496D"/>
    <w:rsid w:val="002C7C81"/>
    <w:rsid w:val="002E2DC6"/>
    <w:rsid w:val="002E3C89"/>
    <w:rsid w:val="002E65AC"/>
    <w:rsid w:val="002F2DF7"/>
    <w:rsid w:val="00304985"/>
    <w:rsid w:val="00314726"/>
    <w:rsid w:val="00327492"/>
    <w:rsid w:val="00355262"/>
    <w:rsid w:val="00377278"/>
    <w:rsid w:val="00382170"/>
    <w:rsid w:val="00387868"/>
    <w:rsid w:val="00396885"/>
    <w:rsid w:val="003A403B"/>
    <w:rsid w:val="003B2D58"/>
    <w:rsid w:val="003D0F27"/>
    <w:rsid w:val="003D5813"/>
    <w:rsid w:val="00407CEE"/>
    <w:rsid w:val="00440286"/>
    <w:rsid w:val="00451E02"/>
    <w:rsid w:val="004A17B6"/>
    <w:rsid w:val="004B29D8"/>
    <w:rsid w:val="004B2E99"/>
    <w:rsid w:val="004C784A"/>
    <w:rsid w:val="004D04D8"/>
    <w:rsid w:val="004E1BE6"/>
    <w:rsid w:val="004E5D61"/>
    <w:rsid w:val="004F27B7"/>
    <w:rsid w:val="0050593A"/>
    <w:rsid w:val="00530251"/>
    <w:rsid w:val="00540737"/>
    <w:rsid w:val="0056001A"/>
    <w:rsid w:val="00582EF1"/>
    <w:rsid w:val="005A29D3"/>
    <w:rsid w:val="005A2F6E"/>
    <w:rsid w:val="005A5491"/>
    <w:rsid w:val="005A6101"/>
    <w:rsid w:val="005B4AEC"/>
    <w:rsid w:val="005B5106"/>
    <w:rsid w:val="005F2BE8"/>
    <w:rsid w:val="00610CDE"/>
    <w:rsid w:val="006239CE"/>
    <w:rsid w:val="00631923"/>
    <w:rsid w:val="006831C5"/>
    <w:rsid w:val="00684FB4"/>
    <w:rsid w:val="00686D21"/>
    <w:rsid w:val="006B03BC"/>
    <w:rsid w:val="006B598D"/>
    <w:rsid w:val="006C63AA"/>
    <w:rsid w:val="006D3A74"/>
    <w:rsid w:val="006D3E00"/>
    <w:rsid w:val="006D4D04"/>
    <w:rsid w:val="006D7274"/>
    <w:rsid w:val="006F66CF"/>
    <w:rsid w:val="00744A9C"/>
    <w:rsid w:val="007727FF"/>
    <w:rsid w:val="00775F5C"/>
    <w:rsid w:val="007A4F2B"/>
    <w:rsid w:val="007C1DBC"/>
    <w:rsid w:val="007D197D"/>
    <w:rsid w:val="007D462A"/>
    <w:rsid w:val="007E6B66"/>
    <w:rsid w:val="007E7EAB"/>
    <w:rsid w:val="008011FA"/>
    <w:rsid w:val="00831752"/>
    <w:rsid w:val="00842A13"/>
    <w:rsid w:val="00881334"/>
    <w:rsid w:val="00895509"/>
    <w:rsid w:val="008B13B0"/>
    <w:rsid w:val="008B7229"/>
    <w:rsid w:val="008B771D"/>
    <w:rsid w:val="008C636B"/>
    <w:rsid w:val="008D7203"/>
    <w:rsid w:val="008E54C7"/>
    <w:rsid w:val="008E68EE"/>
    <w:rsid w:val="00924A2E"/>
    <w:rsid w:val="00967BAD"/>
    <w:rsid w:val="009A6A90"/>
    <w:rsid w:val="009A7066"/>
    <w:rsid w:val="009C312E"/>
    <w:rsid w:val="009C67ED"/>
    <w:rsid w:val="009C6E90"/>
    <w:rsid w:val="009E70B9"/>
    <w:rsid w:val="009F4619"/>
    <w:rsid w:val="00A0041A"/>
    <w:rsid w:val="00A011EB"/>
    <w:rsid w:val="00A07388"/>
    <w:rsid w:val="00A07426"/>
    <w:rsid w:val="00A2627A"/>
    <w:rsid w:val="00A34C1C"/>
    <w:rsid w:val="00A44BB4"/>
    <w:rsid w:val="00A87593"/>
    <w:rsid w:val="00AC7D38"/>
    <w:rsid w:val="00AD71AC"/>
    <w:rsid w:val="00AE7D05"/>
    <w:rsid w:val="00B057FF"/>
    <w:rsid w:val="00B076A5"/>
    <w:rsid w:val="00B16D0C"/>
    <w:rsid w:val="00B461E1"/>
    <w:rsid w:val="00B52BE6"/>
    <w:rsid w:val="00B67E08"/>
    <w:rsid w:val="00B969FA"/>
    <w:rsid w:val="00BC433E"/>
    <w:rsid w:val="00BE1E55"/>
    <w:rsid w:val="00C2118E"/>
    <w:rsid w:val="00C306F6"/>
    <w:rsid w:val="00C36A95"/>
    <w:rsid w:val="00C36D25"/>
    <w:rsid w:val="00C44C8D"/>
    <w:rsid w:val="00C46278"/>
    <w:rsid w:val="00C56D72"/>
    <w:rsid w:val="00C66924"/>
    <w:rsid w:val="00C7392F"/>
    <w:rsid w:val="00C73FA8"/>
    <w:rsid w:val="00C77A76"/>
    <w:rsid w:val="00C81D8B"/>
    <w:rsid w:val="00C925B2"/>
    <w:rsid w:val="00CA21E1"/>
    <w:rsid w:val="00CB54AF"/>
    <w:rsid w:val="00CD392B"/>
    <w:rsid w:val="00CF2CE9"/>
    <w:rsid w:val="00D00929"/>
    <w:rsid w:val="00D02879"/>
    <w:rsid w:val="00D07FE7"/>
    <w:rsid w:val="00D2163F"/>
    <w:rsid w:val="00D315D5"/>
    <w:rsid w:val="00D33F37"/>
    <w:rsid w:val="00D4413D"/>
    <w:rsid w:val="00D55B4C"/>
    <w:rsid w:val="00D64F0C"/>
    <w:rsid w:val="00D85836"/>
    <w:rsid w:val="00DA175D"/>
    <w:rsid w:val="00DA6E24"/>
    <w:rsid w:val="00DC2445"/>
    <w:rsid w:val="00DC2FFD"/>
    <w:rsid w:val="00DD284D"/>
    <w:rsid w:val="00DD7BA9"/>
    <w:rsid w:val="00DE76F9"/>
    <w:rsid w:val="00DF2DA2"/>
    <w:rsid w:val="00E06700"/>
    <w:rsid w:val="00E11875"/>
    <w:rsid w:val="00E17C2C"/>
    <w:rsid w:val="00E35D3D"/>
    <w:rsid w:val="00E4136D"/>
    <w:rsid w:val="00E50AA8"/>
    <w:rsid w:val="00E51F67"/>
    <w:rsid w:val="00E65FA8"/>
    <w:rsid w:val="00E8246F"/>
    <w:rsid w:val="00E82BDE"/>
    <w:rsid w:val="00E857D8"/>
    <w:rsid w:val="00EB532A"/>
    <w:rsid w:val="00EE6DAF"/>
    <w:rsid w:val="00EF5C98"/>
    <w:rsid w:val="00F03347"/>
    <w:rsid w:val="00F057C4"/>
    <w:rsid w:val="00F1231D"/>
    <w:rsid w:val="00F15472"/>
    <w:rsid w:val="00F566F9"/>
    <w:rsid w:val="00F63F32"/>
    <w:rsid w:val="00F75401"/>
    <w:rsid w:val="00F80781"/>
    <w:rsid w:val="00FA4E91"/>
    <w:rsid w:val="00FA62E7"/>
    <w:rsid w:val="00FB4CBE"/>
    <w:rsid w:val="00FC7111"/>
    <w:rsid w:val="00FE39E8"/>
    <w:rsid w:val="01301290"/>
    <w:rsid w:val="21176C6C"/>
    <w:rsid w:val="260D19A5"/>
    <w:rsid w:val="68646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lang w:val="zh-CN"/>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styleId="4">
    <w:name w:val="Normal (Web)"/>
    <w:basedOn w:val="1"/>
    <w:qFormat/>
    <w:uiPriority w:val="0"/>
    <w:pPr>
      <w:spacing w:beforeAutospacing="1" w:afterAutospacing="1"/>
      <w:jc w:val="left"/>
    </w:pPr>
    <w:rPr>
      <w:kern w:val="0"/>
      <w:sz w:val="24"/>
      <w:szCs w:val="24"/>
    </w:rPr>
  </w:style>
  <w:style w:type="character" w:customStyle="1" w:styleId="7">
    <w:name w:val="页眉 Char"/>
    <w:link w:val="3"/>
    <w:qFormat/>
    <w:uiPriority w:val="99"/>
    <w:rPr>
      <w:kern w:val="2"/>
      <w:sz w:val="18"/>
      <w:szCs w:val="18"/>
    </w:rPr>
  </w:style>
  <w:style w:type="character" w:customStyle="1" w:styleId="8">
    <w:name w:val="页脚 Char"/>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2517</Words>
  <Characters>2816</Characters>
  <Lines>21</Lines>
  <Paragraphs>6</Paragraphs>
  <TotalTime>2</TotalTime>
  <ScaleCrop>false</ScaleCrop>
  <LinksUpToDate>false</LinksUpToDate>
  <CharactersWithSpaces>2918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2026-04-01T01:31:00Z</dcterms:created>
  <dc:creator>董宇佳</dc:creator>
  <cp:lastModifiedBy>小罗</cp:lastModifiedBy>
  <dcterms:modified xsi:type="dcterms:W3CDTF">2026-04-07T08:28:29Z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eyJoZGlkIjoiOTZhZGUyNDI0NDEyODQwMDNhY2Q0MWNjNjk1ZjMyNDkiLCJ1c2VySWQiOiIzMDU5MzgwMzUifQ==</vt:lpwstr>
  </property>
  <property fmtid="{D5CDD505-2E9C-101B-9397-08002B2CF9AE}" pid="3" name="KSOProductBuildVer">
    <vt:lpwstr>2052-12.1.0.25225</vt:lpwstr>
  </property>
  <property fmtid="{D5CDD505-2E9C-101B-9397-08002B2CF9AE}" pid="4" name="ICV">
    <vt:lpwstr>7AB5086A60624E11894B498FE8C4A092_13</vt:lpwstr>
  </property>
</Properties>
</file>